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2B4" w:rsidP="007342B4" w:rsidRDefault="007342B4" w14:paraId="528F445E" w14:textId="03204D53">
      <w:pPr>
        <w:rPr>
          <w:rFonts w:ascii="Verdana" w:hAnsi="Verdana"/>
          <w:b/>
          <w:bCs/>
          <w:sz w:val="20"/>
          <w:szCs w:val="20"/>
        </w:rPr>
      </w:pPr>
      <w:r w:rsidRPr="007342B4">
        <w:rPr>
          <w:rFonts w:ascii="Verdana" w:hAnsi="Verdana"/>
          <w:b/>
          <w:bCs/>
          <w:sz w:val="20"/>
          <w:szCs w:val="20"/>
        </w:rPr>
        <w:t>Informatie voor jou als adviseur</w:t>
      </w:r>
      <w:r w:rsidR="002578F9">
        <w:rPr>
          <w:rFonts w:ascii="Verdana" w:hAnsi="Verdana"/>
          <w:b/>
          <w:bCs/>
          <w:sz w:val="20"/>
          <w:szCs w:val="20"/>
        </w:rPr>
        <w:t xml:space="preserve">: </w:t>
      </w:r>
      <w:r w:rsidRPr="007342B4">
        <w:rPr>
          <w:rFonts w:ascii="Verdana" w:hAnsi="Verdana"/>
          <w:b/>
          <w:bCs/>
          <w:sz w:val="20"/>
          <w:szCs w:val="20"/>
        </w:rPr>
        <w:t>wat je moet weten over de BAZ en hoe je dit bespreekt met klanten</w:t>
      </w:r>
    </w:p>
    <w:p w:rsidRPr="00EA4801" w:rsidR="00E31CC8" w:rsidP="00E31CC8" w:rsidRDefault="00E31CC8" w14:paraId="19131864" w14:textId="77777777">
      <w:pPr>
        <w:rPr>
          <w:rFonts w:ascii="Verdana" w:hAnsi="Verdana"/>
          <w:color w:val="0080C3"/>
          <w:sz w:val="20"/>
          <w:szCs w:val="20"/>
        </w:rPr>
      </w:pPr>
      <w:r w:rsidRPr="00EA4801">
        <w:rPr>
          <w:rFonts w:ascii="Verdana" w:hAnsi="Verdana"/>
          <w:color w:val="0080C3"/>
          <w:sz w:val="20"/>
          <w:szCs w:val="20"/>
        </w:rPr>
        <w:t>Alleen voor intern gebruik!</w:t>
      </w:r>
    </w:p>
    <w:p w:rsidRPr="000E7A2D" w:rsidR="007342B4" w:rsidP="007342B4" w:rsidRDefault="007342B4" w14:paraId="59150E5F" w14:textId="77777777">
      <w:pPr>
        <w:rPr>
          <w:rFonts w:ascii="Verdana" w:hAnsi="Verdana"/>
          <w:i/>
          <w:iCs/>
          <w:sz w:val="20"/>
          <w:szCs w:val="20"/>
        </w:rPr>
      </w:pPr>
      <w:r w:rsidRPr="000E7A2D">
        <w:rPr>
          <w:rFonts w:ascii="Verdana" w:hAnsi="Verdana"/>
          <w:i/>
          <w:iCs/>
          <w:sz w:val="20"/>
          <w:szCs w:val="20"/>
        </w:rPr>
        <w:t>Op basis van informatie per 20 november 2025</w:t>
      </w:r>
    </w:p>
    <w:p w:rsidRPr="007342B4" w:rsidR="007342B4" w:rsidP="007342B4" w:rsidRDefault="5404E728" w14:paraId="4711D37D" w14:textId="08154E04">
      <w:pPr>
        <w:rPr>
          <w:rFonts w:ascii="Verdana" w:hAnsi="Verdana"/>
          <w:sz w:val="20"/>
          <w:szCs w:val="20"/>
        </w:rPr>
      </w:pPr>
      <w:r w:rsidRPr="75223B98">
        <w:rPr>
          <w:rFonts w:ascii="Verdana" w:hAnsi="Verdana"/>
          <w:sz w:val="20"/>
          <w:szCs w:val="20"/>
        </w:rPr>
        <w:t xml:space="preserve">De overheid voert de Wet basisverzekering arbeidsongeschiktheid zelfstandigen (BAZ) in omdat een groot deel van de zelfstandigen </w:t>
      </w:r>
      <w:r w:rsidR="00E44C49">
        <w:rPr>
          <w:rFonts w:ascii="Verdana" w:hAnsi="Verdana"/>
          <w:sz w:val="20"/>
          <w:szCs w:val="20"/>
        </w:rPr>
        <w:t xml:space="preserve">(ib-ondernemers) </w:t>
      </w:r>
      <w:r w:rsidRPr="75223B98">
        <w:rPr>
          <w:rFonts w:ascii="Verdana" w:hAnsi="Verdana"/>
          <w:sz w:val="20"/>
          <w:szCs w:val="20"/>
        </w:rPr>
        <w:t xml:space="preserve">niet verzekerd is tegen arbeidsongeschiktheid. </w:t>
      </w:r>
      <w:r w:rsidRPr="75223B98" w:rsidR="3FFBBE90">
        <w:rPr>
          <w:rFonts w:ascii="Verdana" w:hAnsi="Verdana"/>
          <w:sz w:val="20"/>
          <w:szCs w:val="20"/>
        </w:rPr>
        <w:t>Daardoor ontstaat bij langdurige arbeidsongeschiktheid inkomensonzekerheid, instroom in de bijstand en maatschappelijke kosten.</w:t>
      </w:r>
      <w:r w:rsidRPr="75223B98" w:rsidR="0CC03450">
        <w:rPr>
          <w:rFonts w:ascii="Verdana" w:hAnsi="Verdana"/>
          <w:sz w:val="20"/>
          <w:szCs w:val="20"/>
        </w:rPr>
        <w:t xml:space="preserve"> </w:t>
      </w:r>
      <w:r w:rsidRPr="75223B98" w:rsidR="3FFBBE90">
        <w:rPr>
          <w:rFonts w:ascii="Verdana" w:hAnsi="Verdana"/>
          <w:sz w:val="20"/>
          <w:szCs w:val="20"/>
        </w:rPr>
        <w:t>De overheid wil met de BAZ zorgen voor een minimaal niveau van inkomensbescherming voor iedereen die werkt, zonder medische selectie, zodat ook moeilijk verzekerbare zelfstandigen een uitkering kunnen krijgen.</w:t>
      </w:r>
      <w:r w:rsidRPr="75223B98" w:rsidR="0CC03450">
        <w:rPr>
          <w:rFonts w:ascii="Verdana" w:hAnsi="Verdana"/>
          <w:sz w:val="20"/>
          <w:szCs w:val="20"/>
        </w:rPr>
        <w:t xml:space="preserve"> </w:t>
      </w:r>
      <w:r w:rsidRPr="75223B98">
        <w:rPr>
          <w:rFonts w:ascii="Verdana" w:hAnsi="Verdana"/>
          <w:sz w:val="20"/>
          <w:szCs w:val="20"/>
        </w:rPr>
        <w:t>De regeling maakt daarnaast onderdeel uit van bredere hervormingen op de arbeidsmarkt, gericht op meer evenwicht en zekerheid tussen werknemers en zelfstandigen.</w:t>
      </w:r>
      <w:r w:rsidR="000E1F92">
        <w:rPr>
          <w:rFonts w:ascii="Verdana" w:hAnsi="Verdana"/>
          <w:sz w:val="20"/>
          <w:szCs w:val="20"/>
        </w:rPr>
        <w:t xml:space="preserve"> Met </w:t>
      </w:r>
      <w:r w:rsidRPr="75223B98" w:rsidR="5599D790">
        <w:rPr>
          <w:rFonts w:ascii="Verdana" w:hAnsi="Verdana"/>
          <w:sz w:val="20"/>
          <w:szCs w:val="20"/>
        </w:rPr>
        <w:t>dit document helpen we je om</w:t>
      </w:r>
      <w:r w:rsidRPr="75223B98" w:rsidR="27B8DB8E">
        <w:rPr>
          <w:rFonts w:ascii="Verdana" w:hAnsi="Verdana"/>
          <w:sz w:val="20"/>
          <w:szCs w:val="20"/>
        </w:rPr>
        <w:t>:</w:t>
      </w:r>
    </w:p>
    <w:p w:rsidRPr="000E7A2D" w:rsidR="00025415" w:rsidP="00025415" w:rsidRDefault="007342B4" w14:paraId="3C85F3DF" w14:textId="7777777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Inhoudelijk op de hoogte zijn van wat de BAZ precies inhoudt.</w:t>
      </w:r>
    </w:p>
    <w:p w:rsidRPr="000E7A2D" w:rsidR="007342B4" w:rsidP="00025415" w:rsidRDefault="00526855" w14:paraId="06F4E620" w14:textId="059C00D9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Handvatten om te b</w:t>
      </w:r>
      <w:r w:rsidRPr="000E7A2D" w:rsidR="007342B4">
        <w:rPr>
          <w:rFonts w:ascii="Verdana" w:hAnsi="Verdana"/>
          <w:sz w:val="20"/>
          <w:szCs w:val="20"/>
        </w:rPr>
        <w:t>eoordelen of de polis van jouw klant voldoet aan de voorwaarden voor vrijstelling, zowel vóór de peildatum (overgangsregeling) als daarna (</w:t>
      </w:r>
      <w:proofErr w:type="spellStart"/>
      <w:r w:rsidRPr="000E7A2D" w:rsidR="007342B4">
        <w:rPr>
          <w:rFonts w:ascii="Verdana" w:hAnsi="Verdana"/>
          <w:sz w:val="20"/>
          <w:szCs w:val="20"/>
        </w:rPr>
        <w:t>opt</w:t>
      </w:r>
      <w:proofErr w:type="spellEnd"/>
      <w:r w:rsidRPr="000E7A2D" w:rsidR="007342B4">
        <w:rPr>
          <w:rFonts w:ascii="Verdana" w:hAnsi="Verdana"/>
          <w:sz w:val="20"/>
          <w:szCs w:val="20"/>
        </w:rPr>
        <w:t>-out).</w:t>
      </w:r>
    </w:p>
    <w:p w:rsidRPr="007342B4" w:rsidR="007342B4" w:rsidP="007342B4" w:rsidRDefault="007342B4" w14:paraId="7C2D17AA" w14:textId="77777777">
      <w:pPr>
        <w:rPr>
          <w:rFonts w:ascii="Verdana" w:hAnsi="Verdana"/>
          <w:sz w:val="20"/>
          <w:szCs w:val="20"/>
        </w:rPr>
      </w:pPr>
      <w:r w:rsidRPr="007342B4">
        <w:rPr>
          <w:rFonts w:ascii="Verdana" w:hAnsi="Verdana"/>
          <w:sz w:val="20"/>
          <w:szCs w:val="20"/>
        </w:rPr>
        <w:t>Daarom is dit document opgebouwd met:</w:t>
      </w:r>
    </w:p>
    <w:p w:rsidRPr="000E7A2D" w:rsidR="00526855" w:rsidP="00526855" w:rsidRDefault="007342B4" w14:paraId="4172E550" w14:textId="77777777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een feitelijke uitleg van de BAZ,</w:t>
      </w:r>
    </w:p>
    <w:p w:rsidRPr="000E7A2D" w:rsidR="00526855" w:rsidP="00526855" w:rsidRDefault="007342B4" w14:paraId="09C565DF" w14:textId="77777777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een heldere vergelijking tussen BAZ en private AOV,</w:t>
      </w:r>
    </w:p>
    <w:p w:rsidRPr="000E7A2D" w:rsidR="00526855" w:rsidP="00526855" w:rsidRDefault="007342B4" w14:paraId="15BAF426" w14:textId="77777777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twee checklists waarmee jij direct kunt beoordelen of een klant wél of niet in aanmerking komt voor vrijstelling,</w:t>
      </w:r>
    </w:p>
    <w:p w:rsidRPr="000E7A2D" w:rsidR="007342B4" w:rsidP="00526855" w:rsidRDefault="007342B4" w14:paraId="567E7FD8" w14:textId="7336BB43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een compacte pitch die je kunt gebruiken in gesprekken met klanten.</w:t>
      </w:r>
    </w:p>
    <w:p w:rsidRPr="000E7A2D" w:rsidR="007342B4" w:rsidP="007F704A" w:rsidRDefault="007342B4" w14:paraId="1ABF1FE1" w14:textId="77777777">
      <w:pPr>
        <w:rPr>
          <w:rFonts w:ascii="Verdana" w:hAnsi="Verdana"/>
          <w:sz w:val="20"/>
          <w:szCs w:val="20"/>
        </w:rPr>
      </w:pPr>
    </w:p>
    <w:p w:rsidRPr="00E44C49" w:rsidR="007F704A" w:rsidP="00FB1C5E" w:rsidRDefault="007F704A" w14:paraId="3920C485" w14:textId="242C4836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E44C49">
        <w:rPr>
          <w:rFonts w:ascii="Verdana" w:hAnsi="Verdana"/>
          <w:b/>
          <w:bCs/>
          <w:color w:val="0080C3"/>
          <w:sz w:val="20"/>
          <w:szCs w:val="20"/>
        </w:rPr>
        <w:t>Voor wie geldt de BAZ?</w:t>
      </w:r>
    </w:p>
    <w:p w:rsidRPr="000E7A2D" w:rsidR="00FB1C5E" w:rsidP="00FB1C5E" w:rsidRDefault="007F704A" w14:paraId="51F37F2C" w14:textId="77777777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Voor alle zelfstandigen die winst uit onderneming genieten (IB-ondernemers).</w:t>
      </w:r>
    </w:p>
    <w:p w:rsidRPr="000E7A2D" w:rsidR="007F704A" w:rsidP="00FB1C5E" w:rsidRDefault="007F704A" w14:paraId="1958F061" w14:textId="16CD02D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Niet van toepassing op o.a. directeur-grootaandeelhouders, ondernemers die grotendeels in loondienst zijn en meewerkende partners.</w:t>
      </w:r>
    </w:p>
    <w:p w:rsidRPr="000E7A2D" w:rsidR="000351A4" w:rsidP="000351A4" w:rsidRDefault="000351A4" w14:paraId="0E06C199" w14:textId="77777777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:rsidRPr="00E44C49" w:rsidR="007F704A" w:rsidP="000351A4" w:rsidRDefault="007F704A" w14:paraId="234388C0" w14:textId="35316433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E44C49">
        <w:rPr>
          <w:rFonts w:ascii="Verdana" w:hAnsi="Verdana"/>
          <w:b/>
          <w:bCs/>
          <w:color w:val="0080C3"/>
          <w:sz w:val="20"/>
          <w:szCs w:val="20"/>
        </w:rPr>
        <w:t xml:space="preserve">Inhoud en </w:t>
      </w:r>
      <w:r w:rsidRPr="00E44C49" w:rsidR="00597F15">
        <w:rPr>
          <w:rFonts w:ascii="Verdana" w:hAnsi="Verdana"/>
          <w:b/>
          <w:bCs/>
          <w:color w:val="0080C3"/>
          <w:sz w:val="20"/>
          <w:szCs w:val="20"/>
        </w:rPr>
        <w:t xml:space="preserve">kenmerken </w:t>
      </w:r>
      <w:r w:rsidRPr="00E44C49">
        <w:rPr>
          <w:rFonts w:ascii="Verdana" w:hAnsi="Verdana"/>
          <w:b/>
          <w:bCs/>
          <w:color w:val="0080C3"/>
          <w:sz w:val="20"/>
          <w:szCs w:val="20"/>
        </w:rPr>
        <w:t>van de basisverzekering</w:t>
      </w:r>
    </w:p>
    <w:p w:rsidRPr="000E7A2D" w:rsidR="000351A4" w:rsidP="000351A4" w:rsidRDefault="007F704A" w14:paraId="34DCFF10" w14:textId="77777777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Wachttijd: 104 weken (2 jaar) arbeidsongeschiktheid voordat een uitkering start.</w:t>
      </w:r>
    </w:p>
    <w:p w:rsidRPr="000E7A2D" w:rsidR="000351A4" w:rsidP="000351A4" w:rsidRDefault="007F704A" w14:paraId="21150881" w14:textId="77777777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Uitkering: 70% van het laatstverdiende inkomen, met een maximum van 100% van het wettelijk minimumloon.</w:t>
      </w:r>
    </w:p>
    <w:p w:rsidRPr="000E7A2D" w:rsidR="000351A4" w:rsidP="000351A4" w:rsidRDefault="007F704A" w14:paraId="67E31DF3" w14:noSpellErr="1" w14:textId="3D602F90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2F0195B1" w:rsidR="007F704A">
        <w:rPr>
          <w:rFonts w:ascii="Verdana" w:hAnsi="Verdana"/>
          <w:sz w:val="20"/>
          <w:szCs w:val="20"/>
        </w:rPr>
        <w:t>Premie: circa 5,4% van de winst uit onderneming, tot een vast maximumbedrag per maand</w:t>
      </w:r>
      <w:r w:rsidRPr="2F0195B1" w:rsidR="00597F15">
        <w:rPr>
          <w:rFonts w:ascii="Verdana" w:hAnsi="Verdana"/>
          <w:sz w:val="20"/>
          <w:szCs w:val="20"/>
        </w:rPr>
        <w:t xml:space="preserve"> (ca </w:t>
      </w:r>
      <w:r w:rsidRPr="2F0195B1" w:rsidR="00DF0CF6">
        <w:rPr>
          <w:rFonts w:ascii="Verdana" w:hAnsi="Verdana"/>
          <w:sz w:val="20"/>
          <w:szCs w:val="20"/>
        </w:rPr>
        <w:t>€ 171,-</w:t>
      </w:r>
      <w:r w:rsidRPr="2F0195B1" w:rsidR="780F62BB">
        <w:rPr>
          <w:rFonts w:ascii="Verdana" w:hAnsi="Verdana"/>
          <w:sz w:val="20"/>
          <w:szCs w:val="20"/>
        </w:rPr>
        <w:t xml:space="preserve"> let op dit is op basis van 2025</w:t>
      </w:r>
      <w:r w:rsidRPr="2F0195B1" w:rsidR="00DF0CF6">
        <w:rPr>
          <w:rFonts w:ascii="Verdana" w:hAnsi="Verdana"/>
          <w:sz w:val="20"/>
          <w:szCs w:val="20"/>
        </w:rPr>
        <w:t>)</w:t>
      </w:r>
      <w:r w:rsidRPr="2F0195B1" w:rsidR="00E80E66">
        <w:rPr>
          <w:rFonts w:ascii="Verdana" w:hAnsi="Verdana"/>
          <w:sz w:val="20"/>
          <w:szCs w:val="20"/>
        </w:rPr>
        <w:t xml:space="preserve">. </w:t>
      </w:r>
      <w:r w:rsidRPr="2F0195B1" w:rsidR="00E80E66">
        <w:rPr>
          <w:rFonts w:ascii="Verdana" w:hAnsi="Verdana"/>
          <w:sz w:val="20"/>
          <w:szCs w:val="20"/>
        </w:rPr>
        <w:t>Dit bedrag is het maximale maandelijkse premiebedrag onder de BAZ.</w:t>
      </w:r>
    </w:p>
    <w:p w:rsidRPr="000E7A2D" w:rsidR="000351A4" w:rsidP="000351A4" w:rsidRDefault="007F704A" w14:paraId="36662993" w14:textId="77777777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Premiegrondslag: maximaal 142,86% van het wettelijk minimumloon.</w:t>
      </w:r>
    </w:p>
    <w:p w:rsidRPr="000E7A2D" w:rsidR="007F704A" w:rsidP="000351A4" w:rsidRDefault="007F704A" w14:paraId="5DC2E4E6" w14:textId="78D8F61A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De uiteindelijke ingangsdatum wordt bij Koninklijk Besluit bepaald; deze is nog niet vastgesteld.</w:t>
      </w:r>
    </w:p>
    <w:p w:rsidRPr="000E7A2D" w:rsidR="000351A4" w:rsidP="000351A4" w:rsidRDefault="000351A4" w14:paraId="05E46747" w14:textId="77777777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:rsidRPr="006D6C0F" w:rsidR="007F704A" w:rsidP="000351A4" w:rsidRDefault="007F704A" w14:paraId="20D32106" w14:textId="413769D8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6D6C0F">
        <w:rPr>
          <w:rFonts w:ascii="Verdana" w:hAnsi="Verdana"/>
          <w:b/>
          <w:bCs/>
          <w:color w:val="0080C3"/>
          <w:sz w:val="20"/>
          <w:szCs w:val="20"/>
        </w:rPr>
        <w:t>Peildatum &amp; overgangsregeling (eerbiedigende werking)</w:t>
      </w:r>
    </w:p>
    <w:p w:rsidRPr="000E7A2D" w:rsidR="000351A4" w:rsidP="000351A4" w:rsidRDefault="007F704A" w14:paraId="0FACCCBE" w14:textId="77777777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 xml:space="preserve">Er komt een officiële peildatum; vóór die datum afgesloten </w:t>
      </w:r>
      <w:proofErr w:type="spellStart"/>
      <w:r w:rsidRPr="000E7A2D">
        <w:rPr>
          <w:rFonts w:ascii="Verdana" w:hAnsi="Verdana"/>
          <w:sz w:val="20"/>
          <w:szCs w:val="20"/>
        </w:rPr>
        <w:t>AOV’s</w:t>
      </w:r>
      <w:proofErr w:type="spellEnd"/>
      <w:r w:rsidRPr="000E7A2D">
        <w:rPr>
          <w:rFonts w:ascii="Verdana" w:hAnsi="Verdana"/>
          <w:sz w:val="20"/>
          <w:szCs w:val="20"/>
        </w:rPr>
        <w:t xml:space="preserve"> kunnen onder de overgangsregeling vallen.</w:t>
      </w:r>
    </w:p>
    <w:p w:rsidRPr="000E7A2D" w:rsidR="000351A4" w:rsidP="000351A4" w:rsidRDefault="007F704A" w14:paraId="2633A690" w14:textId="119641A2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De peildatum is nog niet vastgesteld en kan relatief snel na bekendmaking volgen.</w:t>
      </w:r>
      <w:r w:rsidR="003E37D0">
        <w:rPr>
          <w:rFonts w:ascii="Verdana" w:hAnsi="Verdana"/>
          <w:sz w:val="20"/>
          <w:szCs w:val="20"/>
        </w:rPr>
        <w:t xml:space="preserve"> </w:t>
      </w:r>
      <w:r w:rsidR="008C6890">
        <w:rPr>
          <w:rFonts w:ascii="Verdana" w:hAnsi="Verdana"/>
          <w:sz w:val="20"/>
          <w:szCs w:val="20"/>
        </w:rPr>
        <w:t xml:space="preserve">Verzekeraars geven aan dat ze dit in het eerste kwartaal van 2026 verwachten. </w:t>
      </w:r>
      <w:r w:rsidRPr="003E37D0" w:rsidR="003E37D0">
        <w:rPr>
          <w:rFonts w:ascii="Verdana" w:hAnsi="Verdana"/>
          <w:sz w:val="20"/>
          <w:szCs w:val="20"/>
        </w:rPr>
        <w:lastRenderedPageBreak/>
        <w:t xml:space="preserve">Dit betekent dat </w:t>
      </w:r>
      <w:r w:rsidR="003E37D0">
        <w:rPr>
          <w:rFonts w:ascii="Verdana" w:hAnsi="Verdana"/>
          <w:sz w:val="20"/>
          <w:szCs w:val="20"/>
        </w:rPr>
        <w:t>het belangrijk is om</w:t>
      </w:r>
      <w:r w:rsidRPr="003E37D0" w:rsidR="003E37D0">
        <w:rPr>
          <w:rFonts w:ascii="Verdana" w:hAnsi="Verdana"/>
          <w:sz w:val="20"/>
          <w:szCs w:val="20"/>
        </w:rPr>
        <w:t xml:space="preserve"> </w:t>
      </w:r>
      <w:r w:rsidR="006F0403">
        <w:rPr>
          <w:rFonts w:ascii="Verdana" w:hAnsi="Verdana"/>
          <w:sz w:val="20"/>
          <w:szCs w:val="20"/>
        </w:rPr>
        <w:t>op tijd</w:t>
      </w:r>
      <w:r w:rsidRPr="003E37D0" w:rsidR="003E37D0">
        <w:rPr>
          <w:rFonts w:ascii="Verdana" w:hAnsi="Verdana"/>
          <w:sz w:val="20"/>
          <w:szCs w:val="20"/>
        </w:rPr>
        <w:t xml:space="preserve"> </w:t>
      </w:r>
      <w:r w:rsidR="003E37D0">
        <w:rPr>
          <w:rFonts w:ascii="Verdana" w:hAnsi="Verdana"/>
          <w:sz w:val="20"/>
          <w:szCs w:val="20"/>
        </w:rPr>
        <w:t>te</w:t>
      </w:r>
      <w:r w:rsidRPr="003E37D0" w:rsidR="003E37D0">
        <w:rPr>
          <w:rFonts w:ascii="Verdana" w:hAnsi="Verdana"/>
          <w:sz w:val="20"/>
          <w:szCs w:val="20"/>
        </w:rPr>
        <w:t xml:space="preserve"> inventariseren welke klanten mogelijk geraakt worden.</w:t>
      </w:r>
    </w:p>
    <w:p w:rsidRPr="000E7A2D" w:rsidR="000351A4" w:rsidP="000351A4" w:rsidRDefault="007F704A" w14:paraId="692D399B" w14:textId="77777777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 xml:space="preserve">Bestaande </w:t>
      </w:r>
      <w:proofErr w:type="spellStart"/>
      <w:r w:rsidRPr="000E7A2D">
        <w:rPr>
          <w:rFonts w:ascii="Verdana" w:hAnsi="Verdana"/>
          <w:sz w:val="20"/>
          <w:szCs w:val="20"/>
        </w:rPr>
        <w:t>AOV’s</w:t>
      </w:r>
      <w:proofErr w:type="spellEnd"/>
      <w:r w:rsidRPr="000E7A2D">
        <w:rPr>
          <w:rFonts w:ascii="Verdana" w:hAnsi="Verdana"/>
          <w:sz w:val="20"/>
          <w:szCs w:val="20"/>
        </w:rPr>
        <w:t xml:space="preserve"> voor de peildatum kunnen vrijstelling krijgen als ze voldoen aan de voorwaarden van de overgangsregeling.</w:t>
      </w:r>
    </w:p>
    <w:p w:rsidRPr="000E7A2D" w:rsidR="007F704A" w:rsidP="000351A4" w:rsidRDefault="007F704A" w14:paraId="2D1E3038" w14:textId="4724C88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Er bestaat een kans dat de peildatum met terugwerkende kracht wordt vastgesteld.</w:t>
      </w:r>
    </w:p>
    <w:p w:rsidRPr="000E7A2D" w:rsidR="000351A4" w:rsidP="000351A4" w:rsidRDefault="000351A4" w14:paraId="5F367ED9" w14:textId="77777777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:rsidRPr="006F0403" w:rsidR="007F704A" w:rsidP="000351A4" w:rsidRDefault="007F704A" w14:paraId="1E963916" w14:textId="4D408FEC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6F0403">
        <w:rPr>
          <w:rFonts w:ascii="Verdana" w:hAnsi="Verdana"/>
          <w:b/>
          <w:bCs/>
          <w:color w:val="0080C3"/>
          <w:sz w:val="20"/>
          <w:szCs w:val="20"/>
        </w:rPr>
        <w:t>Vrijstelling via eigen AOV</w:t>
      </w:r>
    </w:p>
    <w:p w:rsidRPr="000E7A2D" w:rsidR="007F704A" w:rsidP="007F704A" w:rsidRDefault="007F704A" w14:paraId="4445E074" w14:textId="63914E9E">
      <w:pPr>
        <w:pStyle w:val="Lijstalinea"/>
        <w:numPr>
          <w:ilvl w:val="0"/>
          <w:numId w:val="16"/>
        </w:numPr>
        <w:rPr>
          <w:rFonts w:ascii="Verdana" w:hAnsi="Verdana"/>
          <w:b/>
          <w:bCs/>
          <w:sz w:val="20"/>
          <w:szCs w:val="20"/>
        </w:rPr>
      </w:pPr>
      <w:r w:rsidRPr="00CB7381">
        <w:rPr>
          <w:rFonts w:ascii="Verdana" w:hAnsi="Verdana"/>
          <w:i/>
          <w:iCs/>
          <w:sz w:val="20"/>
          <w:szCs w:val="20"/>
        </w:rPr>
        <w:t>Overgangsregeling (AOV afgesloten vóór peildatum)</w:t>
      </w:r>
      <w:r w:rsidRPr="006F0403" w:rsidR="00E83ACE">
        <w:rPr>
          <w:rFonts w:ascii="Verdana" w:hAnsi="Verdana"/>
          <w:i/>
          <w:iCs/>
          <w:sz w:val="20"/>
          <w:szCs w:val="20"/>
        </w:rPr>
        <w:br/>
      </w:r>
      <w:r w:rsidRPr="000E7A2D" w:rsidR="00E83ACE">
        <w:rPr>
          <w:rFonts w:ascii="Verdana" w:hAnsi="Verdana"/>
          <w:sz w:val="20"/>
          <w:szCs w:val="20"/>
        </w:rPr>
        <w:t>Ee</w:t>
      </w:r>
      <w:r w:rsidRPr="000E7A2D">
        <w:rPr>
          <w:rFonts w:ascii="Verdana" w:hAnsi="Verdana"/>
          <w:sz w:val="20"/>
          <w:szCs w:val="20"/>
        </w:rPr>
        <w:t>n bestaande AOV kan leiden tot vrijstelling van deelname aan de BAZ wanneer deze voldoet aan:</w:t>
      </w:r>
    </w:p>
    <w:p w:rsidRPr="00CB7381" w:rsidR="00E83ACE" w:rsidP="00CB7381" w:rsidRDefault="007F704A" w14:paraId="32833E2F" w14:textId="0D561BDE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50BC80B" w:rsidR="007F704A">
        <w:rPr>
          <w:rFonts w:ascii="Verdana" w:hAnsi="Verdana"/>
          <w:sz w:val="20"/>
          <w:szCs w:val="20"/>
        </w:rPr>
        <w:t xml:space="preserve">Ingangsdatum </w:t>
      </w:r>
      <w:r w:rsidRPr="050BC80B" w:rsidR="04087B40">
        <w:rPr>
          <w:rFonts w:ascii="Verdana" w:hAnsi="Verdana"/>
          <w:sz w:val="20"/>
          <w:szCs w:val="20"/>
        </w:rPr>
        <w:t xml:space="preserve">(tot </w:t>
      </w:r>
      <w:r w:rsidRPr="050BC80B" w:rsidR="04087B40">
        <w:rPr>
          <w:rFonts w:ascii="Verdana" w:hAnsi="Verdana"/>
          <w:sz w:val="20"/>
          <w:szCs w:val="20"/>
        </w:rPr>
        <w:t>standskomingsdatum</w:t>
      </w:r>
      <w:r w:rsidRPr="050BC80B" w:rsidR="04087B40">
        <w:rPr>
          <w:rFonts w:ascii="Verdana" w:hAnsi="Verdana"/>
          <w:sz w:val="20"/>
          <w:szCs w:val="20"/>
        </w:rPr>
        <w:t xml:space="preserve"> verzekering)</w:t>
      </w:r>
      <w:r w:rsidRPr="050BC80B" w:rsidR="3DA5D783">
        <w:rPr>
          <w:rFonts w:ascii="Verdana" w:hAnsi="Verdana"/>
          <w:sz w:val="20"/>
          <w:szCs w:val="20"/>
        </w:rPr>
        <w:t xml:space="preserve"> </w:t>
      </w:r>
      <w:r w:rsidRPr="050BC80B" w:rsidR="007F704A">
        <w:rPr>
          <w:rFonts w:ascii="Verdana" w:hAnsi="Verdana"/>
          <w:sz w:val="20"/>
          <w:szCs w:val="20"/>
        </w:rPr>
        <w:t>vóór de peildatum.</w:t>
      </w:r>
    </w:p>
    <w:p w:rsidRPr="000E7A2D" w:rsidR="00E83ACE" w:rsidP="00E83ACE" w:rsidRDefault="007F704A" w14:paraId="14297640" w14:textId="77777777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Eindleeftijd van minimaal 55 jaar.</w:t>
      </w:r>
    </w:p>
    <w:p w:rsidRPr="000E7A2D" w:rsidR="00E83ACE" w:rsidP="00E83ACE" w:rsidRDefault="007F704A" w14:paraId="505B1598" w14:textId="0F38DB87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50BC80B" w:rsidR="007F704A">
        <w:rPr>
          <w:rFonts w:ascii="Verdana" w:hAnsi="Verdana"/>
          <w:sz w:val="20"/>
          <w:szCs w:val="20"/>
        </w:rPr>
        <w:t xml:space="preserve">Geen maximale of beperkte uitkeringsduur (doorlopend tot </w:t>
      </w:r>
      <w:r w:rsidRPr="050BC80B" w:rsidR="4237B46E">
        <w:rPr>
          <w:rFonts w:ascii="Verdana" w:hAnsi="Verdana"/>
          <w:sz w:val="20"/>
          <w:szCs w:val="20"/>
        </w:rPr>
        <w:t>minimaal 55 jaar</w:t>
      </w:r>
      <w:r w:rsidRPr="050BC80B" w:rsidR="007F704A">
        <w:rPr>
          <w:rFonts w:ascii="Verdana" w:hAnsi="Verdana"/>
          <w:sz w:val="20"/>
          <w:szCs w:val="20"/>
        </w:rPr>
        <w:t>).</w:t>
      </w:r>
    </w:p>
    <w:p w:rsidRPr="000E7A2D" w:rsidR="007F704A" w:rsidP="00E83ACE" w:rsidRDefault="007F704A" w14:paraId="324121F0" w14:textId="7C51273C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proofErr w:type="spellStart"/>
      <w:r w:rsidRPr="000E7A2D">
        <w:rPr>
          <w:rFonts w:ascii="Verdana" w:hAnsi="Verdana"/>
          <w:sz w:val="20"/>
          <w:szCs w:val="20"/>
        </w:rPr>
        <w:t>Eigenrisicotermijn</w:t>
      </w:r>
      <w:proofErr w:type="spellEnd"/>
      <w:r w:rsidRPr="000E7A2D">
        <w:rPr>
          <w:rFonts w:ascii="Verdana" w:hAnsi="Verdana"/>
          <w:sz w:val="20"/>
          <w:szCs w:val="20"/>
        </w:rPr>
        <w:t xml:space="preserve"> van maximaal 24 maanden.</w:t>
      </w:r>
    </w:p>
    <w:p w:rsidRPr="000E7A2D" w:rsidR="00F416C6" w:rsidP="00171588" w:rsidRDefault="007F704A" w14:paraId="31934BEB" w14:textId="114B4F58">
      <w:pPr>
        <w:pStyle w:val="Lijstalinea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Medische uitsluitingen zijn toegestaan binnen deze overgangsregeling</w:t>
      </w:r>
      <w:r w:rsidRPr="000E7A2D" w:rsidR="00F416C6">
        <w:rPr>
          <w:rFonts w:ascii="Verdana" w:hAnsi="Verdana"/>
          <w:sz w:val="20"/>
          <w:szCs w:val="20"/>
        </w:rPr>
        <w:t>.</w:t>
      </w:r>
      <w:r w:rsidR="00D1705D">
        <w:rPr>
          <w:rFonts w:ascii="Verdana" w:hAnsi="Verdana"/>
          <w:sz w:val="20"/>
          <w:szCs w:val="20"/>
        </w:rPr>
        <w:t xml:space="preserve"> </w:t>
      </w:r>
      <w:r w:rsidRPr="00D1705D" w:rsidR="00D1705D">
        <w:rPr>
          <w:rFonts w:ascii="Verdana" w:hAnsi="Verdana"/>
          <w:sz w:val="20"/>
          <w:szCs w:val="20"/>
        </w:rPr>
        <w:t>Dit volgt uit de wettelijke voorwaarden voor eerbiedigende werking.</w:t>
      </w:r>
    </w:p>
    <w:p w:rsidR="00CB7381" w:rsidP="00171588" w:rsidRDefault="007F704A" w14:paraId="2665C98B" w14:textId="77777777">
      <w:pPr>
        <w:pStyle w:val="Lijstalinea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Er is geen minimum verzekerd bedrag vereist.</w:t>
      </w:r>
    </w:p>
    <w:p w:rsidRPr="00171588" w:rsidR="00E77AC7" w:rsidP="00171588" w:rsidRDefault="00FD6C87" w14:paraId="22B81A0C" w14:textId="5359DED2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71588">
        <w:rPr>
          <w:rFonts w:ascii="Verdana" w:hAnsi="Verdana"/>
          <w:sz w:val="20"/>
          <w:szCs w:val="20"/>
        </w:rPr>
        <w:t>Mogelijk geldt</w:t>
      </w:r>
      <w:r w:rsidRPr="00171588" w:rsidR="001F26A1">
        <w:rPr>
          <w:rFonts w:ascii="Verdana" w:hAnsi="Verdana"/>
          <w:sz w:val="20"/>
          <w:szCs w:val="20"/>
        </w:rPr>
        <w:t xml:space="preserve"> </w:t>
      </w:r>
      <w:r w:rsidRPr="00171588" w:rsidR="00840985">
        <w:rPr>
          <w:rFonts w:ascii="Verdana" w:hAnsi="Verdana"/>
          <w:sz w:val="20"/>
          <w:szCs w:val="20"/>
        </w:rPr>
        <w:t xml:space="preserve">een </w:t>
      </w:r>
      <w:r w:rsidRPr="00171588" w:rsidR="00392F41">
        <w:rPr>
          <w:rFonts w:ascii="Verdana" w:hAnsi="Verdana"/>
          <w:sz w:val="20"/>
          <w:szCs w:val="20"/>
        </w:rPr>
        <w:t>verplichte stabiliteitsbijdrage aan de verz</w:t>
      </w:r>
      <w:r w:rsidR="00171588">
        <w:rPr>
          <w:rFonts w:ascii="Verdana" w:hAnsi="Verdana"/>
          <w:sz w:val="20"/>
          <w:szCs w:val="20"/>
        </w:rPr>
        <w:t>e</w:t>
      </w:r>
      <w:r w:rsidRPr="00171588" w:rsidR="00392F41">
        <w:rPr>
          <w:rFonts w:ascii="Verdana" w:hAnsi="Verdana"/>
          <w:sz w:val="20"/>
          <w:szCs w:val="20"/>
        </w:rPr>
        <w:t>keraar (enkele tientjes per maand)</w:t>
      </w:r>
    </w:p>
    <w:p w:rsidRPr="000E7A2D" w:rsidR="00F416C6" w:rsidP="00F416C6" w:rsidRDefault="00F416C6" w14:paraId="40F18C16" w14:textId="77777777">
      <w:pPr>
        <w:pStyle w:val="Lijstalinea"/>
        <w:ind w:left="360"/>
        <w:rPr>
          <w:rFonts w:ascii="Verdana" w:hAnsi="Verdana"/>
          <w:b/>
          <w:bCs/>
          <w:sz w:val="20"/>
          <w:szCs w:val="20"/>
        </w:rPr>
      </w:pPr>
    </w:p>
    <w:p w:rsidRPr="00F16CBE" w:rsidR="00F416C6" w:rsidP="007F704A" w:rsidRDefault="007F704A" w14:paraId="2F57EB23" w14:textId="77777777">
      <w:pPr>
        <w:pStyle w:val="Lijstalinea"/>
        <w:numPr>
          <w:ilvl w:val="0"/>
          <w:numId w:val="16"/>
        </w:numPr>
        <w:rPr>
          <w:rFonts w:ascii="Verdana" w:hAnsi="Verdana"/>
          <w:i/>
          <w:iCs/>
          <w:sz w:val="20"/>
          <w:szCs w:val="20"/>
        </w:rPr>
      </w:pPr>
      <w:proofErr w:type="spellStart"/>
      <w:r w:rsidRPr="00F16CBE">
        <w:rPr>
          <w:rFonts w:ascii="Verdana" w:hAnsi="Verdana"/>
          <w:i/>
          <w:iCs/>
          <w:sz w:val="20"/>
          <w:szCs w:val="20"/>
        </w:rPr>
        <w:t>Opt-outregeling</w:t>
      </w:r>
      <w:proofErr w:type="spellEnd"/>
      <w:r w:rsidRPr="00F16CBE">
        <w:rPr>
          <w:rFonts w:ascii="Verdana" w:hAnsi="Verdana"/>
          <w:i/>
          <w:iCs/>
          <w:sz w:val="20"/>
          <w:szCs w:val="20"/>
        </w:rPr>
        <w:t xml:space="preserve"> (AOV afgesloten ná de peildatum)</w:t>
      </w:r>
    </w:p>
    <w:p w:rsidRPr="000E7A2D" w:rsidR="007F704A" w:rsidP="00F416C6" w:rsidRDefault="007F704A" w14:paraId="621B8912" w14:textId="6191BEF7">
      <w:pPr>
        <w:pStyle w:val="Lijstalinea"/>
        <w:ind w:left="360"/>
        <w:rPr>
          <w:rFonts w:ascii="Verdana" w:hAnsi="Verdana"/>
          <w:b/>
          <w:bCs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Een nieuwe of gewijzigde AOV moet volledig gelijkwaardig zijn aan de BAZ. Belangrijkste voorwaarden:</w:t>
      </w:r>
    </w:p>
    <w:p w:rsidRPr="000E7A2D" w:rsidR="00F416C6" w:rsidP="00F416C6" w:rsidRDefault="007F704A" w14:paraId="2591A5F9" w14:textId="77777777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Dekking minimaal gelijkwaardig aan BAZ (ten minste 70% tot het niveau van minimumloon).</w:t>
      </w:r>
    </w:p>
    <w:p w:rsidRPr="000E7A2D" w:rsidR="00F416C6" w:rsidP="00F416C6" w:rsidRDefault="007F704A" w14:paraId="4521D2B4" w14:textId="77777777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50BC80B" w:rsidR="007F704A">
        <w:rPr>
          <w:rFonts w:ascii="Verdana" w:hAnsi="Verdana"/>
          <w:sz w:val="20"/>
          <w:szCs w:val="20"/>
        </w:rPr>
        <w:t>Uitkeringsduur minimaal tot de AOW-leeftijd.</w:t>
      </w:r>
    </w:p>
    <w:p w:rsidRPr="000E7A2D" w:rsidR="00F416C6" w:rsidP="00F416C6" w:rsidRDefault="007F704A" w14:paraId="43A9D5C4" w14:textId="77777777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Geen medische uitsluitingen.</w:t>
      </w:r>
    </w:p>
    <w:p w:rsidRPr="000E7A2D" w:rsidR="00F416C6" w:rsidP="00F416C6" w:rsidRDefault="007F704A" w14:paraId="35FB9616" w14:textId="77777777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proofErr w:type="spellStart"/>
      <w:r w:rsidRPr="000E7A2D">
        <w:rPr>
          <w:rFonts w:ascii="Verdana" w:hAnsi="Verdana"/>
          <w:sz w:val="20"/>
          <w:szCs w:val="20"/>
        </w:rPr>
        <w:t>Eigenrisicotermijn</w:t>
      </w:r>
      <w:proofErr w:type="spellEnd"/>
      <w:r w:rsidRPr="000E7A2D">
        <w:rPr>
          <w:rFonts w:ascii="Verdana" w:hAnsi="Verdana"/>
          <w:sz w:val="20"/>
          <w:szCs w:val="20"/>
        </w:rPr>
        <w:t xml:space="preserve"> van maximaal 24 maanden.</w:t>
      </w:r>
    </w:p>
    <w:p w:rsidRPr="000E7A2D" w:rsidR="00F416C6" w:rsidP="00F416C6" w:rsidRDefault="007F704A" w14:paraId="33C24DA3" w14:textId="77777777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75223B98" w:rsidDel="007F704A">
        <w:rPr>
          <w:rFonts w:ascii="Verdana" w:hAnsi="Verdana"/>
          <w:sz w:val="20"/>
          <w:szCs w:val="20"/>
        </w:rPr>
        <w:t>Premie ten minste gelijk aan BAZ-premie.</w:t>
      </w:r>
    </w:p>
    <w:p w:rsidRPr="000E7A2D" w:rsidR="007F704A" w:rsidP="00F416C6" w:rsidRDefault="007F704A" w14:paraId="2FE6DF1B" w14:textId="5FE5D408">
      <w:pPr>
        <w:pStyle w:val="Lijstaline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Daarnaast geldt een verplichte stabiliteitsbijdrage via de verzekeraar (enkele tientjes per maand).</w:t>
      </w:r>
    </w:p>
    <w:p w:rsidRPr="000E7A2D" w:rsidR="00751E7C" w:rsidP="00751E7C" w:rsidRDefault="00751E7C" w14:paraId="0A5CCF4A" w14:textId="77777777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:rsidRPr="00417442" w:rsidR="007F704A" w:rsidP="00417442" w:rsidRDefault="007F704A" w14:paraId="60744DE4" w14:textId="06196FBF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417442">
        <w:rPr>
          <w:rFonts w:ascii="Verdana" w:hAnsi="Verdana"/>
          <w:b/>
          <w:bCs/>
          <w:color w:val="0080C3"/>
          <w:sz w:val="20"/>
          <w:szCs w:val="20"/>
        </w:rPr>
        <w:t xml:space="preserve">Wat als </w:t>
      </w:r>
      <w:r w:rsidRPr="00417442" w:rsidR="00C551D4">
        <w:rPr>
          <w:rFonts w:ascii="Verdana" w:hAnsi="Verdana"/>
          <w:b/>
          <w:bCs/>
          <w:color w:val="0080C3"/>
          <w:sz w:val="20"/>
          <w:szCs w:val="20"/>
        </w:rPr>
        <w:t>de ondernemer</w:t>
      </w:r>
      <w:r w:rsidRPr="00417442" w:rsidR="002B1DE1">
        <w:rPr>
          <w:rFonts w:ascii="Verdana" w:hAnsi="Verdana"/>
          <w:b/>
          <w:bCs/>
          <w:color w:val="0080C3"/>
          <w:sz w:val="20"/>
          <w:szCs w:val="20"/>
        </w:rPr>
        <w:t xml:space="preserve"> geen</w:t>
      </w:r>
      <w:r w:rsidRPr="00417442">
        <w:rPr>
          <w:rFonts w:ascii="Verdana" w:hAnsi="Verdana"/>
          <w:b/>
          <w:bCs/>
          <w:color w:val="0080C3"/>
          <w:sz w:val="20"/>
          <w:szCs w:val="20"/>
        </w:rPr>
        <w:t xml:space="preserve"> AOV </w:t>
      </w:r>
      <w:r w:rsidRPr="00417442" w:rsidR="002B1DE1">
        <w:rPr>
          <w:rFonts w:ascii="Verdana" w:hAnsi="Verdana"/>
          <w:b/>
          <w:bCs/>
          <w:color w:val="0080C3"/>
          <w:sz w:val="20"/>
          <w:szCs w:val="20"/>
        </w:rPr>
        <w:t xml:space="preserve">heeft of de bestaande AOV </w:t>
      </w:r>
      <w:r w:rsidRPr="00417442">
        <w:rPr>
          <w:rFonts w:ascii="Verdana" w:hAnsi="Verdana"/>
          <w:b/>
          <w:bCs/>
          <w:color w:val="0080C3"/>
          <w:sz w:val="20"/>
          <w:szCs w:val="20"/>
        </w:rPr>
        <w:t>niet voldoet?</w:t>
      </w:r>
    </w:p>
    <w:p w:rsidRPr="000E7A2D" w:rsidR="00751E7C" w:rsidP="00751E7C" w:rsidRDefault="002B1DE1" w14:paraId="2F5D169E" w14:textId="45407713">
      <w:pPr>
        <w:pStyle w:val="Lijstaline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Heeft de ondernemer</w:t>
      </w:r>
      <w:r w:rsidRPr="000E7A2D" w:rsidR="00C551D4">
        <w:rPr>
          <w:rFonts w:ascii="Verdana" w:hAnsi="Verdana"/>
          <w:sz w:val="20"/>
          <w:szCs w:val="20"/>
        </w:rPr>
        <w:t xml:space="preserve"> geen</w:t>
      </w:r>
      <w:r w:rsidRPr="000E7A2D" w:rsidR="007F704A">
        <w:rPr>
          <w:rFonts w:ascii="Verdana" w:hAnsi="Verdana"/>
          <w:sz w:val="20"/>
          <w:szCs w:val="20"/>
        </w:rPr>
        <w:t xml:space="preserve"> geschikte AOV op de peildatum? Dan valt de ondernemer automatisch onder de verplichte BAZ zodra de wet in werking treedt.</w:t>
      </w:r>
    </w:p>
    <w:p w:rsidRPr="000E7A2D" w:rsidR="00751E7C" w:rsidP="00751E7C" w:rsidRDefault="007F704A" w14:paraId="7514C894" w14:textId="77777777">
      <w:pPr>
        <w:pStyle w:val="Lijstaline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Is er wel een AOV maar deze voldoet niet aan de voorwaarden? Dan is vrijstelling niet mogelijk en geldt eveneens verplichte deelname.</w:t>
      </w:r>
    </w:p>
    <w:p w:rsidRPr="000E7A2D" w:rsidR="00F51AA2" w:rsidP="00F51AA2" w:rsidRDefault="00F51AA2" w14:paraId="082BC27B" w14:textId="77777777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:rsidRPr="002578F9" w:rsidR="00F51AA2" w:rsidP="002578F9" w:rsidRDefault="007F704A" w14:paraId="75B91F54" w14:textId="74D0C53E">
      <w:pPr>
        <w:pStyle w:val="Lijstalinea"/>
        <w:numPr>
          <w:ilvl w:val="0"/>
          <w:numId w:val="15"/>
        </w:numPr>
        <w:rPr>
          <w:rFonts w:ascii="Verdana" w:hAnsi="Verdana"/>
          <w:b/>
          <w:bCs/>
          <w:color w:val="0080C3"/>
          <w:sz w:val="20"/>
          <w:szCs w:val="20"/>
        </w:rPr>
      </w:pPr>
      <w:r w:rsidRPr="002578F9">
        <w:rPr>
          <w:rFonts w:ascii="Verdana" w:hAnsi="Verdana"/>
          <w:b/>
          <w:bCs/>
          <w:color w:val="0080C3"/>
          <w:sz w:val="20"/>
          <w:szCs w:val="20"/>
        </w:rPr>
        <w:t>Is het verstandig om nu al een AOV af te sluiten?</w:t>
      </w:r>
    </w:p>
    <w:p w:rsidRPr="000E7A2D" w:rsidR="00F51AA2" w:rsidP="00B177E7" w:rsidRDefault="007F704A" w14:paraId="0760DECE" w14:textId="039A98B7">
      <w:pPr>
        <w:rPr>
          <w:rFonts w:ascii="Verdana" w:hAnsi="Verdana"/>
          <w:b/>
          <w:bCs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 xml:space="preserve">Ja, om </w:t>
      </w:r>
      <w:r w:rsidR="00851112">
        <w:rPr>
          <w:rFonts w:ascii="Verdana" w:hAnsi="Verdana"/>
          <w:sz w:val="20"/>
          <w:szCs w:val="20"/>
        </w:rPr>
        <w:t>vier</w:t>
      </w:r>
      <w:r w:rsidRPr="000E7A2D">
        <w:rPr>
          <w:rFonts w:ascii="Verdana" w:hAnsi="Verdana"/>
          <w:sz w:val="20"/>
          <w:szCs w:val="20"/>
        </w:rPr>
        <w:t xml:space="preserve"> redenen:</w:t>
      </w:r>
    </w:p>
    <w:p w:rsidRPr="000E7A2D" w:rsidR="002C7FBA" w:rsidP="002C7FBA" w:rsidRDefault="007F704A" w14:paraId="167B78AE" w14:textId="77777777">
      <w:pPr>
        <w:pStyle w:val="Lijstalinea"/>
        <w:numPr>
          <w:ilvl w:val="1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De ondernemer is direct verzekerd tegen arbeidsongeschiktheid tot aan invoering van de BAZ.</w:t>
      </w:r>
    </w:p>
    <w:p w:rsidRPr="000E7A2D" w:rsidR="002C7FBA" w:rsidP="002C7FBA" w:rsidRDefault="007F704A" w14:paraId="367806EA" w14:textId="77777777">
      <w:pPr>
        <w:pStyle w:val="Lijstalinea"/>
        <w:numPr>
          <w:ilvl w:val="1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Een tijdig afgesloten AOV valt onder soepelere voorwaarden van de overgangsregeling.</w:t>
      </w:r>
    </w:p>
    <w:p w:rsidR="006C6703" w:rsidP="00165245" w:rsidRDefault="006C6703" w14:paraId="62E45BBA" w14:textId="1ECCE303">
      <w:pPr>
        <w:pStyle w:val="Lijstalinea"/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dekking van een AOV is in de meeste gevallen beter dan de BAZ.</w:t>
      </w:r>
    </w:p>
    <w:p w:rsidR="00165245" w:rsidP="00165245" w:rsidRDefault="00BD1241" w14:paraId="2CF9A6A3" w14:textId="3BB67CF3">
      <w:pPr>
        <w:pStyle w:val="Lijstalinea"/>
        <w:numPr>
          <w:ilvl w:val="1"/>
          <w:numId w:val="9"/>
        </w:numPr>
        <w:rPr>
          <w:rFonts w:ascii="Verdana" w:hAnsi="Verdana"/>
          <w:sz w:val="20"/>
          <w:szCs w:val="20"/>
        </w:rPr>
      </w:pPr>
      <w:r w:rsidRPr="00BD1241">
        <w:rPr>
          <w:rFonts w:ascii="Verdana" w:hAnsi="Verdana"/>
          <w:sz w:val="20"/>
          <w:szCs w:val="20"/>
        </w:rPr>
        <w:lastRenderedPageBreak/>
        <w:t xml:space="preserve">Bij private verzekeraars zijn premies op jongere leeftijd lager; toekomstige BAZ-premie is uniform en niet </w:t>
      </w:r>
      <w:proofErr w:type="spellStart"/>
      <w:r w:rsidRPr="00BD1241">
        <w:rPr>
          <w:rFonts w:ascii="Verdana" w:hAnsi="Verdana"/>
          <w:sz w:val="20"/>
          <w:szCs w:val="20"/>
        </w:rPr>
        <w:t>risicogebaseerd</w:t>
      </w:r>
      <w:proofErr w:type="spellEnd"/>
      <w:r w:rsidRPr="00BD124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</w:p>
    <w:p w:rsidRPr="000E7A2D" w:rsidR="007F704A" w:rsidP="00165245" w:rsidRDefault="007F704A" w14:paraId="5A0C645F" w14:textId="3234C1C0">
      <w:pPr>
        <w:pStyle w:val="Lijstalinea"/>
        <w:numPr>
          <w:ilvl w:val="2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Wel geldt: de wet is nog niet definitief, dus bepaalde details kunnen wijzigen.</w:t>
      </w:r>
    </w:p>
    <w:p w:rsidRPr="007F704A" w:rsidR="007F704A" w:rsidP="007F704A" w:rsidRDefault="007F704A" w14:paraId="7355BBBB" w14:textId="77777777">
      <w:pPr>
        <w:rPr>
          <w:rFonts w:ascii="Verdana" w:hAnsi="Verdana"/>
          <w:b/>
          <w:bCs/>
          <w:sz w:val="20"/>
          <w:szCs w:val="20"/>
        </w:rPr>
      </w:pPr>
      <w:r w:rsidRPr="007F704A">
        <w:rPr>
          <w:rFonts w:ascii="Verdana" w:hAnsi="Verdana"/>
          <w:b/>
          <w:bCs/>
          <w:sz w:val="20"/>
          <w:szCs w:val="20"/>
        </w:rPr>
        <w:t>7. Vergelijking: BAZ versus private AOV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Pr="000E7A2D" w:rsidR="003A1830" w14:paraId="771F7C7E" w14:textId="77777777">
        <w:tc>
          <w:tcPr>
            <w:tcW w:w="3020" w:type="dxa"/>
          </w:tcPr>
          <w:p w:rsidRPr="000E7A2D" w:rsidR="003A1830" w:rsidRDefault="003A1830" w14:paraId="4617DFF4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Onderdeel</w:t>
            </w:r>
          </w:p>
        </w:tc>
        <w:tc>
          <w:tcPr>
            <w:tcW w:w="3021" w:type="dxa"/>
          </w:tcPr>
          <w:p w:rsidRPr="000E7A2D" w:rsidR="003A1830" w:rsidRDefault="003A1830" w14:paraId="1CF76F81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BAZ (verplichte basisverzekering)</w:t>
            </w:r>
          </w:p>
        </w:tc>
        <w:tc>
          <w:tcPr>
            <w:tcW w:w="3021" w:type="dxa"/>
          </w:tcPr>
          <w:p w:rsidRPr="000E7A2D" w:rsidR="003A1830" w:rsidRDefault="003A1830" w14:paraId="5B7D75DD" w14:textId="70B346C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AOV (verzekeraar)</w:t>
            </w:r>
          </w:p>
        </w:tc>
      </w:tr>
      <w:tr w:rsidRPr="000E7A2D" w:rsidR="003A1830" w14:paraId="574E5778" w14:textId="77777777">
        <w:tc>
          <w:tcPr>
            <w:tcW w:w="3020" w:type="dxa"/>
          </w:tcPr>
          <w:p w:rsidRPr="000E7A2D" w:rsidR="003A1830" w:rsidRDefault="003A1830" w14:paraId="0DF7EC7B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Toegang / acceptatie</w:t>
            </w:r>
          </w:p>
        </w:tc>
        <w:tc>
          <w:tcPr>
            <w:tcW w:w="3021" w:type="dxa"/>
          </w:tcPr>
          <w:p w:rsidRPr="000E7A2D" w:rsidR="003A1830" w:rsidRDefault="003A1830" w14:paraId="7B37E426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Altijd geaccepteerd (geen medische selectie).</w:t>
            </w:r>
          </w:p>
        </w:tc>
        <w:tc>
          <w:tcPr>
            <w:tcW w:w="3021" w:type="dxa"/>
          </w:tcPr>
          <w:p w:rsidRPr="000E7A2D" w:rsidR="003A1830" w:rsidRDefault="003A1830" w14:paraId="2A389239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Medische selectie, mogelijke uitsluitingen of premieverhoging.</w:t>
            </w:r>
          </w:p>
        </w:tc>
      </w:tr>
      <w:tr w:rsidRPr="000E7A2D" w:rsidR="003A1830" w14:paraId="33D6A537" w14:textId="77777777">
        <w:tc>
          <w:tcPr>
            <w:tcW w:w="3020" w:type="dxa"/>
          </w:tcPr>
          <w:p w:rsidRPr="000E7A2D" w:rsidR="003A1830" w:rsidRDefault="003A1830" w14:paraId="737E6A5C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Premie</w:t>
            </w:r>
          </w:p>
        </w:tc>
        <w:tc>
          <w:tcPr>
            <w:tcW w:w="3021" w:type="dxa"/>
          </w:tcPr>
          <w:p w:rsidRPr="000E7A2D" w:rsidR="003A1830" w:rsidRDefault="003A1830" w14:paraId="53C34E78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Vast percentage (ca. 5,4% van winst), max. bedrag per maand.</w:t>
            </w:r>
          </w:p>
        </w:tc>
        <w:tc>
          <w:tcPr>
            <w:tcW w:w="3021" w:type="dxa"/>
          </w:tcPr>
          <w:p w:rsidRPr="000E7A2D" w:rsidR="003A1830" w:rsidRDefault="003A1830" w14:paraId="06A645F6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Afhankelijk van leeftijd, beroep, gezondheid, dekking en wachttijd.</w:t>
            </w:r>
          </w:p>
        </w:tc>
      </w:tr>
      <w:tr w:rsidRPr="000E7A2D" w:rsidR="003A1830" w14:paraId="5EF233A5" w14:textId="77777777">
        <w:tc>
          <w:tcPr>
            <w:tcW w:w="3020" w:type="dxa"/>
          </w:tcPr>
          <w:p w:rsidRPr="000E7A2D" w:rsidR="003A1830" w:rsidRDefault="003A1830" w14:paraId="4C8D0752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Uitkeringsniveau</w:t>
            </w:r>
          </w:p>
        </w:tc>
        <w:tc>
          <w:tcPr>
            <w:tcW w:w="3021" w:type="dxa"/>
          </w:tcPr>
          <w:p w:rsidRPr="000E7A2D" w:rsidR="003A1830" w:rsidRDefault="003A1830" w14:paraId="595EB48C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70% van inkomen, max. tot minimumloon.</w:t>
            </w:r>
          </w:p>
        </w:tc>
        <w:tc>
          <w:tcPr>
            <w:tcW w:w="3021" w:type="dxa"/>
          </w:tcPr>
          <w:p w:rsidRPr="000E7A2D" w:rsidR="003A1830" w:rsidRDefault="003A1830" w14:paraId="21413DF2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Vrij te bepalen, vaak tot 70–80% van werkelijke inkomen.</w:t>
            </w:r>
          </w:p>
        </w:tc>
      </w:tr>
      <w:tr w:rsidRPr="000E7A2D" w:rsidR="003A1830" w14:paraId="5501323F" w14:textId="77777777">
        <w:tc>
          <w:tcPr>
            <w:tcW w:w="3020" w:type="dxa"/>
          </w:tcPr>
          <w:p w:rsidRPr="000E7A2D" w:rsidR="003A1830" w:rsidRDefault="003A1830" w14:paraId="0CB42CC4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Maximale uitkering</w:t>
            </w:r>
          </w:p>
        </w:tc>
        <w:tc>
          <w:tcPr>
            <w:tcW w:w="3021" w:type="dxa"/>
          </w:tcPr>
          <w:p w:rsidRPr="000E7A2D" w:rsidR="003A1830" w:rsidRDefault="003A1830" w14:paraId="77261D49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Wettelijk minimumloon.</w:t>
            </w:r>
          </w:p>
        </w:tc>
        <w:tc>
          <w:tcPr>
            <w:tcW w:w="3021" w:type="dxa"/>
          </w:tcPr>
          <w:p w:rsidRPr="000E7A2D" w:rsidR="003A1830" w:rsidRDefault="003A1830" w14:paraId="0C3E81AB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Aanzienlijk hoger (afhankelijk van inkomen en gekozen dekking).</w:t>
            </w:r>
          </w:p>
        </w:tc>
      </w:tr>
      <w:tr w:rsidRPr="000E7A2D" w:rsidR="003A1830" w14:paraId="4A4D0CBA" w14:textId="77777777">
        <w:tc>
          <w:tcPr>
            <w:tcW w:w="3020" w:type="dxa"/>
          </w:tcPr>
          <w:p w:rsidRPr="000E7A2D" w:rsidR="003A1830" w:rsidRDefault="003A1830" w14:paraId="29F16C69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Wachttijd</w:t>
            </w:r>
          </w:p>
        </w:tc>
        <w:tc>
          <w:tcPr>
            <w:tcW w:w="3021" w:type="dxa"/>
          </w:tcPr>
          <w:p w:rsidRPr="000E7A2D" w:rsidR="003A1830" w:rsidRDefault="003A1830" w14:paraId="2DD8C399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2 jaar (104 weken).</w:t>
            </w:r>
          </w:p>
        </w:tc>
        <w:tc>
          <w:tcPr>
            <w:tcW w:w="3021" w:type="dxa"/>
          </w:tcPr>
          <w:p w:rsidRPr="000E7A2D" w:rsidR="003A1830" w:rsidRDefault="003A1830" w14:paraId="6FD49B0C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Vrij te kiezen: bijv. 1 maand, 3 maanden, 1 jaar, 2 jaar.</w:t>
            </w:r>
          </w:p>
        </w:tc>
      </w:tr>
      <w:tr w:rsidRPr="000E7A2D" w:rsidR="003A1830" w14:paraId="6C447C66" w14:textId="77777777">
        <w:tc>
          <w:tcPr>
            <w:tcW w:w="3020" w:type="dxa"/>
          </w:tcPr>
          <w:p w:rsidRPr="000E7A2D" w:rsidR="003A1830" w:rsidRDefault="003A1830" w14:paraId="08EE0EAB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Dekking gedeeltelijke AO</w:t>
            </w:r>
          </w:p>
        </w:tc>
        <w:tc>
          <w:tcPr>
            <w:tcW w:w="3021" w:type="dxa"/>
          </w:tcPr>
          <w:p w:rsidRPr="000E7A2D" w:rsidR="003A1830" w:rsidRDefault="003A1830" w14:paraId="2FB57A75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Geen. Alleen uitkering indien volledig AO volgens criterium.</w:t>
            </w:r>
          </w:p>
        </w:tc>
        <w:tc>
          <w:tcPr>
            <w:tcW w:w="3021" w:type="dxa"/>
          </w:tcPr>
          <w:p w:rsidRPr="000E7A2D" w:rsidR="003A1830" w:rsidRDefault="003A1830" w14:paraId="6027A727" w14:textId="543C0C91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Ja. Uitkering vaak al vanaf 25% arbeidsongeschiktheid</w:t>
            </w:r>
            <w:r w:rsidR="00D93D7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Pr="000E7A2D" w:rsidR="003A1830" w14:paraId="1E56F4D5" w14:textId="77777777">
        <w:tc>
          <w:tcPr>
            <w:tcW w:w="3020" w:type="dxa"/>
          </w:tcPr>
          <w:p w:rsidRPr="000E7A2D" w:rsidR="003A1830" w:rsidRDefault="003A1830" w14:paraId="1A655137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AO-criterium</w:t>
            </w:r>
          </w:p>
        </w:tc>
        <w:tc>
          <w:tcPr>
            <w:tcW w:w="3021" w:type="dxa"/>
          </w:tcPr>
          <w:p w:rsidRPr="000E7A2D" w:rsidR="003A1830" w:rsidRDefault="003A1830" w14:paraId="3BE95DB5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Geen algemeen geaccepteerd werk kunnen verrichten waarmee WML wordt verdiend.</w:t>
            </w:r>
          </w:p>
        </w:tc>
        <w:tc>
          <w:tcPr>
            <w:tcW w:w="3021" w:type="dxa"/>
          </w:tcPr>
          <w:p w:rsidRPr="000E7A2D" w:rsidR="003A1830" w:rsidRDefault="003A1830" w14:paraId="02BCC179" w14:textId="7D79692A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 xml:space="preserve">Meestal beroepsarbeidsongeschiktheid (eigen beroep </w:t>
            </w:r>
            <w:r w:rsidR="00D93D74">
              <w:rPr>
                <w:rFonts w:ascii="Verdana" w:hAnsi="Verdana"/>
                <w:sz w:val="16"/>
                <w:szCs w:val="16"/>
              </w:rPr>
              <w:t xml:space="preserve">niet </w:t>
            </w:r>
            <w:r w:rsidR="008551B6">
              <w:rPr>
                <w:rFonts w:ascii="Verdana" w:hAnsi="Verdana"/>
                <w:sz w:val="16"/>
                <w:szCs w:val="16"/>
              </w:rPr>
              <w:t xml:space="preserve">uit </w:t>
            </w:r>
            <w:r w:rsidRPr="000E7A2D">
              <w:rPr>
                <w:rFonts w:ascii="Verdana" w:hAnsi="Verdana"/>
                <w:sz w:val="16"/>
                <w:szCs w:val="16"/>
              </w:rPr>
              <w:t>kunnen oefenen).</w:t>
            </w:r>
          </w:p>
        </w:tc>
      </w:tr>
      <w:tr w:rsidRPr="000E7A2D" w:rsidR="003A1830" w14:paraId="60C6CC8F" w14:textId="77777777">
        <w:tc>
          <w:tcPr>
            <w:tcW w:w="3020" w:type="dxa"/>
          </w:tcPr>
          <w:p w:rsidRPr="000E7A2D" w:rsidR="003A1830" w:rsidRDefault="003A1830" w14:paraId="08FB59DD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Uitkeringsduur</w:t>
            </w:r>
          </w:p>
        </w:tc>
        <w:tc>
          <w:tcPr>
            <w:tcW w:w="3021" w:type="dxa"/>
          </w:tcPr>
          <w:p w:rsidRPr="000E7A2D" w:rsidR="003A1830" w:rsidRDefault="003A1830" w14:paraId="2DB32C88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Tot AOW-leeftijd.</w:t>
            </w:r>
          </w:p>
        </w:tc>
        <w:tc>
          <w:tcPr>
            <w:tcW w:w="3021" w:type="dxa"/>
          </w:tcPr>
          <w:p w:rsidRPr="000E7A2D" w:rsidR="003A1830" w:rsidRDefault="003A1830" w14:paraId="4DC02E8E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Tot gekozen eindleeftijd (bijv. 60/65/68 jaar of AOW).</w:t>
            </w:r>
          </w:p>
        </w:tc>
      </w:tr>
      <w:tr w:rsidRPr="000E7A2D" w:rsidR="003A1830" w14:paraId="3E5D0D2F" w14:textId="77777777">
        <w:tc>
          <w:tcPr>
            <w:tcW w:w="3020" w:type="dxa"/>
          </w:tcPr>
          <w:p w:rsidRPr="000E7A2D" w:rsidR="003A1830" w:rsidRDefault="003A1830" w14:paraId="45A27506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 xml:space="preserve">Voorwaarden </w:t>
            </w:r>
            <w:proofErr w:type="spellStart"/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opt</w:t>
            </w:r>
            <w:proofErr w:type="spellEnd"/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-out</w:t>
            </w:r>
          </w:p>
        </w:tc>
        <w:tc>
          <w:tcPr>
            <w:tcW w:w="3021" w:type="dxa"/>
          </w:tcPr>
          <w:p w:rsidRPr="000E7A2D" w:rsidR="003A1830" w:rsidRDefault="003A1830" w14:paraId="04703050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n.v.t.</w:t>
            </w:r>
          </w:p>
        </w:tc>
        <w:tc>
          <w:tcPr>
            <w:tcW w:w="3021" w:type="dxa"/>
          </w:tcPr>
          <w:p w:rsidRPr="000E7A2D" w:rsidR="003A1830" w:rsidRDefault="003A1830" w14:paraId="5EFA2B54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Streng: o.a. geen medische uitsluitingen, dekking minimaal gelijk aan BAZ, premie ≥ BAZ, eindleeftijd AOW.</w:t>
            </w:r>
          </w:p>
        </w:tc>
      </w:tr>
      <w:tr w:rsidRPr="000E7A2D" w:rsidR="003A1830" w14:paraId="5C230F4A" w14:textId="77777777">
        <w:tc>
          <w:tcPr>
            <w:tcW w:w="3020" w:type="dxa"/>
          </w:tcPr>
          <w:p w:rsidRPr="000E7A2D" w:rsidR="003A1830" w:rsidRDefault="003A1830" w14:paraId="12CF8B7C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Aanvullende diensten</w:t>
            </w:r>
          </w:p>
        </w:tc>
        <w:tc>
          <w:tcPr>
            <w:tcW w:w="3021" w:type="dxa"/>
          </w:tcPr>
          <w:p w:rsidRPr="000E7A2D" w:rsidR="003A1830" w:rsidRDefault="008322B0" w14:paraId="3F26CB7F" w14:textId="2CB0BFB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Geen.</w:t>
            </w:r>
          </w:p>
        </w:tc>
        <w:tc>
          <w:tcPr>
            <w:tcW w:w="3021" w:type="dxa"/>
          </w:tcPr>
          <w:p w:rsidRPr="000E7A2D" w:rsidR="003A1830" w:rsidRDefault="003A1830" w14:paraId="4E598A7F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Preventie, re-integratie, coaching, persoonlijke begeleiding.</w:t>
            </w:r>
          </w:p>
        </w:tc>
      </w:tr>
      <w:tr w:rsidRPr="000E7A2D" w:rsidR="003A1830" w14:paraId="44A32C98" w14:textId="77777777">
        <w:tc>
          <w:tcPr>
            <w:tcW w:w="3020" w:type="dxa"/>
          </w:tcPr>
          <w:p w:rsidRPr="000E7A2D" w:rsidR="003A1830" w:rsidRDefault="003A1830" w14:paraId="480E6BF7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Flexibiliteit / maatwerk</w:t>
            </w:r>
          </w:p>
        </w:tc>
        <w:tc>
          <w:tcPr>
            <w:tcW w:w="3021" w:type="dxa"/>
          </w:tcPr>
          <w:p w:rsidR="008322B0" w:rsidRDefault="003A1830" w14:paraId="1DAD85E2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Geen</w:t>
            </w:r>
            <w:r w:rsidR="008322B0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Pr="000E7A2D" w:rsidR="003A1830" w:rsidRDefault="008322B0" w14:paraId="6C50B3A7" w14:textId="24F5F8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0E7A2D" w:rsidR="003A1830">
              <w:rPr>
                <w:rFonts w:ascii="Verdana" w:hAnsi="Verdana"/>
                <w:sz w:val="16"/>
                <w:szCs w:val="16"/>
              </w:rPr>
              <w:t>ormgeving en inhoud staan vast.</w:t>
            </w:r>
          </w:p>
        </w:tc>
        <w:tc>
          <w:tcPr>
            <w:tcW w:w="3021" w:type="dxa"/>
          </w:tcPr>
          <w:p w:rsidR="008322B0" w:rsidRDefault="003A1830" w14:paraId="2C159ADA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>Hoog</w:t>
            </w:r>
            <w:r w:rsidR="008322B0">
              <w:rPr>
                <w:rFonts w:ascii="Verdana" w:hAnsi="Verdana"/>
                <w:sz w:val="16"/>
                <w:szCs w:val="16"/>
              </w:rPr>
              <w:t>.</w:t>
            </w:r>
          </w:p>
          <w:p w:rsidRPr="000E7A2D" w:rsidR="003A1830" w:rsidRDefault="008322B0" w14:paraId="6F08EE19" w14:textId="6AE69C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0E7A2D" w:rsidR="003A1830">
              <w:rPr>
                <w:rFonts w:ascii="Verdana" w:hAnsi="Verdana"/>
                <w:sz w:val="16"/>
                <w:szCs w:val="16"/>
              </w:rPr>
              <w:t>ekking, eindleeftijd, wachttijd, AO-criterium en indexatie vrij te kiezen.</w:t>
            </w:r>
          </w:p>
        </w:tc>
      </w:tr>
      <w:tr w:rsidRPr="000E7A2D" w:rsidR="003A1830" w14:paraId="7C0DE7C4" w14:textId="77777777">
        <w:tc>
          <w:tcPr>
            <w:tcW w:w="3020" w:type="dxa"/>
          </w:tcPr>
          <w:p w:rsidRPr="000E7A2D" w:rsidR="003A1830" w:rsidRDefault="003A1830" w14:paraId="42F29245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7A2D">
              <w:rPr>
                <w:rFonts w:ascii="Verdana" w:hAnsi="Verdana"/>
                <w:b/>
                <w:bCs/>
                <w:sz w:val="16"/>
                <w:szCs w:val="16"/>
              </w:rPr>
              <w:t>Risicoprofiel premie</w:t>
            </w:r>
          </w:p>
        </w:tc>
        <w:tc>
          <w:tcPr>
            <w:tcW w:w="3021" w:type="dxa"/>
          </w:tcPr>
          <w:p w:rsidR="008322B0" w:rsidRDefault="003A1830" w14:paraId="11504F9D" w14:textId="77777777">
            <w:pPr>
              <w:rPr>
                <w:rFonts w:ascii="Verdana" w:hAnsi="Verdana"/>
                <w:sz w:val="16"/>
                <w:szCs w:val="16"/>
              </w:rPr>
            </w:pPr>
            <w:r w:rsidRPr="000E7A2D">
              <w:rPr>
                <w:rFonts w:ascii="Verdana" w:hAnsi="Verdana"/>
                <w:sz w:val="16"/>
                <w:szCs w:val="16"/>
              </w:rPr>
              <w:t xml:space="preserve">Solidariteit </w:t>
            </w:r>
          </w:p>
          <w:p w:rsidRPr="000E7A2D" w:rsidR="003A1830" w:rsidRDefault="008322B0" w14:paraId="6EE22CBE" w14:textId="2DCD4F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0E7A2D" w:rsidR="003A1830">
              <w:rPr>
                <w:rFonts w:ascii="Verdana" w:hAnsi="Verdana"/>
                <w:sz w:val="16"/>
                <w:szCs w:val="16"/>
              </w:rPr>
              <w:t>einig differentiatie. Voordelig voor hoog-risico beroepen.</w:t>
            </w:r>
          </w:p>
        </w:tc>
        <w:tc>
          <w:tcPr>
            <w:tcW w:w="3021" w:type="dxa"/>
          </w:tcPr>
          <w:p w:rsidR="008322B0" w:rsidRDefault="003A1830" w14:paraId="3ED0D93B" w14:textId="7777777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E7A2D">
              <w:rPr>
                <w:rFonts w:ascii="Verdana" w:hAnsi="Verdana"/>
                <w:sz w:val="16"/>
                <w:szCs w:val="16"/>
              </w:rPr>
              <w:t>Risicogebaseerd</w:t>
            </w:r>
            <w:proofErr w:type="spellEnd"/>
            <w:r w:rsidR="008322B0">
              <w:rPr>
                <w:rFonts w:ascii="Verdana" w:hAnsi="Verdana"/>
                <w:sz w:val="16"/>
                <w:szCs w:val="16"/>
              </w:rPr>
              <w:t>.</w:t>
            </w:r>
            <w:r w:rsidRPr="000E7A2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Pr="000E7A2D" w:rsidR="003A1830" w:rsidRDefault="008322B0" w14:paraId="75DB6065" w14:textId="146811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0E7A2D" w:rsidR="003A1830">
              <w:rPr>
                <w:rFonts w:ascii="Verdana" w:hAnsi="Verdana"/>
                <w:sz w:val="16"/>
                <w:szCs w:val="16"/>
              </w:rPr>
              <w:t>oordelig voor lage risico’s, duurder voor hogere risico’s.</w:t>
            </w:r>
          </w:p>
        </w:tc>
      </w:tr>
    </w:tbl>
    <w:p w:rsidRPr="000E7A2D" w:rsidR="00410FF0" w:rsidP="007F704A" w:rsidRDefault="00410FF0" w14:paraId="3A16EF7E" w14:textId="77777777">
      <w:pPr>
        <w:rPr>
          <w:rFonts w:ascii="Verdana" w:hAnsi="Verdana"/>
          <w:b/>
          <w:bCs/>
          <w:sz w:val="20"/>
          <w:szCs w:val="20"/>
        </w:rPr>
      </w:pPr>
    </w:p>
    <w:p w:rsidRPr="007F704A" w:rsidR="00A971DC" w:rsidP="00A971DC" w:rsidRDefault="00A971DC" w14:paraId="56782901" w14:textId="77777777">
      <w:pPr>
        <w:rPr>
          <w:rFonts w:ascii="Verdana" w:hAnsi="Verdana"/>
          <w:b/>
          <w:bCs/>
          <w:sz w:val="20"/>
          <w:szCs w:val="20"/>
        </w:rPr>
      </w:pPr>
      <w:r w:rsidRPr="007F704A">
        <w:rPr>
          <w:rFonts w:ascii="Verdana" w:hAnsi="Verdana"/>
          <w:b/>
          <w:bCs/>
          <w:sz w:val="20"/>
          <w:szCs w:val="20"/>
        </w:rPr>
        <w:t>Bronnenlijst</w:t>
      </w:r>
    </w:p>
    <w:p w:rsidRPr="000E7A2D" w:rsidR="00A971DC" w:rsidP="00A971DC" w:rsidRDefault="00A971DC" w14:paraId="5AC9F9E2" w14:textId="4585B35E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Internetconsultatie</w:t>
      </w:r>
      <w:r w:rsidR="00393907">
        <w:rPr>
          <w:rFonts w:ascii="Verdana" w:hAnsi="Verdana"/>
          <w:sz w:val="20"/>
          <w:szCs w:val="20"/>
        </w:rPr>
        <w:t xml:space="preserve">. </w:t>
      </w:r>
      <w:r w:rsidRPr="000E7A2D">
        <w:rPr>
          <w:rFonts w:ascii="Verdana" w:hAnsi="Verdana"/>
          <w:sz w:val="20"/>
          <w:szCs w:val="20"/>
        </w:rPr>
        <w:t>Wet basisverzekering arbeidsongeschiktheid zelfstandigen (BAZ), wetsvoorstel + toelichting.</w:t>
      </w:r>
    </w:p>
    <w:p w:rsidRPr="000E7A2D" w:rsidR="00A971DC" w:rsidP="00A971DC" w:rsidRDefault="00A971DC" w14:paraId="118429DF" w14:textId="320662EB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Rijksoverheid</w:t>
      </w:r>
      <w:r w:rsidR="00393907">
        <w:rPr>
          <w:rFonts w:ascii="Verdana" w:hAnsi="Verdana"/>
          <w:sz w:val="20"/>
          <w:szCs w:val="20"/>
        </w:rPr>
        <w:t>. I</w:t>
      </w:r>
      <w:r w:rsidRPr="000E7A2D">
        <w:rPr>
          <w:rFonts w:ascii="Verdana" w:hAnsi="Verdana"/>
          <w:sz w:val="20"/>
          <w:szCs w:val="20"/>
        </w:rPr>
        <w:t>nformatiepagina verplichte AOV voor zelfstandigen.</w:t>
      </w:r>
    </w:p>
    <w:p w:rsidRPr="000E7A2D" w:rsidR="00A971DC" w:rsidP="00A971DC" w:rsidRDefault="00A971DC" w14:paraId="16471087" w14:textId="45FD21C6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Wetgevingskalender</w:t>
      </w:r>
      <w:r w:rsidR="00393907">
        <w:rPr>
          <w:rFonts w:ascii="Verdana" w:hAnsi="Verdana"/>
          <w:sz w:val="20"/>
          <w:szCs w:val="20"/>
        </w:rPr>
        <w:t>. V</w:t>
      </w:r>
      <w:r w:rsidRPr="000E7A2D">
        <w:rPr>
          <w:rFonts w:ascii="Verdana" w:hAnsi="Verdana"/>
          <w:sz w:val="20"/>
          <w:szCs w:val="20"/>
        </w:rPr>
        <w:t>oortgang Wet BAZ.</w:t>
      </w:r>
    </w:p>
    <w:p w:rsidRPr="000E7A2D" w:rsidR="00A971DC" w:rsidP="00A971DC" w:rsidRDefault="00A971DC" w14:paraId="3F51CD94" w14:textId="57D5253C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7A2D">
        <w:rPr>
          <w:rFonts w:ascii="Verdana" w:hAnsi="Verdana"/>
          <w:sz w:val="20"/>
          <w:szCs w:val="20"/>
        </w:rPr>
        <w:t>KVK</w:t>
      </w:r>
      <w:r w:rsidR="00393907">
        <w:rPr>
          <w:rFonts w:ascii="Verdana" w:hAnsi="Verdana"/>
          <w:sz w:val="20"/>
          <w:szCs w:val="20"/>
        </w:rPr>
        <w:t xml:space="preserve">. </w:t>
      </w:r>
      <w:r w:rsidRPr="000E7A2D">
        <w:rPr>
          <w:rFonts w:ascii="Verdana" w:hAnsi="Verdana"/>
          <w:sz w:val="20"/>
          <w:szCs w:val="20"/>
        </w:rPr>
        <w:t>uitleg verplichte AOV voor ondernemers.</w:t>
      </w:r>
    </w:p>
    <w:p w:rsidR="00A971DC" w:rsidP="00A971DC" w:rsidRDefault="00A971DC" w14:paraId="3A2F7853" w14:textId="18CA76D0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proofErr w:type="spellStart"/>
      <w:r w:rsidRPr="000E7A2D">
        <w:rPr>
          <w:rFonts w:ascii="Verdana" w:hAnsi="Verdana"/>
          <w:sz w:val="20"/>
          <w:szCs w:val="20"/>
        </w:rPr>
        <w:t>VvAA</w:t>
      </w:r>
      <w:proofErr w:type="spellEnd"/>
      <w:r w:rsidR="00393907">
        <w:rPr>
          <w:rFonts w:ascii="Verdana" w:hAnsi="Verdana"/>
          <w:sz w:val="20"/>
          <w:szCs w:val="20"/>
        </w:rPr>
        <w:t xml:space="preserve">. </w:t>
      </w:r>
      <w:r w:rsidRPr="000E7A2D">
        <w:rPr>
          <w:rFonts w:ascii="Verdana" w:hAnsi="Verdana"/>
          <w:sz w:val="20"/>
          <w:szCs w:val="20"/>
        </w:rPr>
        <w:t>update verplichte AOV.</w:t>
      </w:r>
    </w:p>
    <w:p w:rsidRPr="00393907" w:rsidR="00393907" w:rsidP="00393907" w:rsidRDefault="00393907" w14:paraId="40B36A57" w14:textId="003EAB97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Adfiz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Pr="00393907">
        <w:rPr>
          <w:rFonts w:ascii="Verdana" w:hAnsi="Verdana"/>
          <w:sz w:val="20"/>
          <w:szCs w:val="20"/>
        </w:rPr>
        <w:t>BAZ: wat verandert er –en wat betekent het voor jouw adviespraktijk?</w:t>
      </w:r>
    </w:p>
    <w:p w:rsidRPr="000E7A2D" w:rsidR="00F47001" w:rsidRDefault="00F47001" w14:paraId="1CBF143C" w14:textId="7E760598">
      <w:pPr>
        <w:rPr>
          <w:rFonts w:ascii="Verdana" w:hAnsi="Verdana"/>
          <w:b/>
          <w:bCs/>
          <w:sz w:val="20"/>
          <w:szCs w:val="20"/>
        </w:rPr>
      </w:pPr>
    </w:p>
    <w:sectPr w:rsidRPr="000E7A2D" w:rsidR="00F4700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065"/>
    <w:multiLevelType w:val="multilevel"/>
    <w:tmpl w:val="6F8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6D5601"/>
    <w:multiLevelType w:val="multilevel"/>
    <w:tmpl w:val="444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EC46B6"/>
    <w:multiLevelType w:val="multilevel"/>
    <w:tmpl w:val="F4A0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E0626C"/>
    <w:multiLevelType w:val="multilevel"/>
    <w:tmpl w:val="D5E65F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3F0B8F"/>
    <w:multiLevelType w:val="multilevel"/>
    <w:tmpl w:val="D5E65F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9646FB9"/>
    <w:multiLevelType w:val="multilevel"/>
    <w:tmpl w:val="414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47628"/>
    <w:multiLevelType w:val="multilevel"/>
    <w:tmpl w:val="430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3DB68E0"/>
    <w:multiLevelType w:val="multilevel"/>
    <w:tmpl w:val="6E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996C0D"/>
    <w:multiLevelType w:val="hybridMultilevel"/>
    <w:tmpl w:val="D3306048"/>
    <w:lvl w:ilvl="0" w:tplc="00C24BD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D7697"/>
    <w:multiLevelType w:val="multilevel"/>
    <w:tmpl w:val="86A4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9CD780F"/>
    <w:multiLevelType w:val="multilevel"/>
    <w:tmpl w:val="6778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361EB"/>
    <w:multiLevelType w:val="multilevel"/>
    <w:tmpl w:val="5F60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5690"/>
    <w:multiLevelType w:val="multilevel"/>
    <w:tmpl w:val="EDFA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eastAsia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B5A56"/>
    <w:multiLevelType w:val="multilevel"/>
    <w:tmpl w:val="B1DA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8B561BA"/>
    <w:multiLevelType w:val="multilevel"/>
    <w:tmpl w:val="E88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E4B2D0F"/>
    <w:multiLevelType w:val="multilevel"/>
    <w:tmpl w:val="955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0C70D06"/>
    <w:multiLevelType w:val="multilevel"/>
    <w:tmpl w:val="860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53917D4"/>
    <w:multiLevelType w:val="hybridMultilevel"/>
    <w:tmpl w:val="B6BA99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F615A1"/>
    <w:multiLevelType w:val="multilevel"/>
    <w:tmpl w:val="D3F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8433557">
    <w:abstractNumId w:val="13"/>
  </w:num>
  <w:num w:numId="2" w16cid:durableId="420762237">
    <w:abstractNumId w:val="9"/>
  </w:num>
  <w:num w:numId="3" w16cid:durableId="1015425428">
    <w:abstractNumId w:val="15"/>
  </w:num>
  <w:num w:numId="4" w16cid:durableId="2072654121">
    <w:abstractNumId w:val="12"/>
  </w:num>
  <w:num w:numId="5" w16cid:durableId="1091659914">
    <w:abstractNumId w:val="4"/>
  </w:num>
  <w:num w:numId="6" w16cid:durableId="887178941">
    <w:abstractNumId w:val="11"/>
  </w:num>
  <w:num w:numId="7" w16cid:durableId="1900285096">
    <w:abstractNumId w:val="18"/>
  </w:num>
  <w:num w:numId="8" w16cid:durableId="80683673">
    <w:abstractNumId w:val="6"/>
  </w:num>
  <w:num w:numId="9" w16cid:durableId="851842262">
    <w:abstractNumId w:val="0"/>
  </w:num>
  <w:num w:numId="10" w16cid:durableId="699356941">
    <w:abstractNumId w:val="1"/>
  </w:num>
  <w:num w:numId="11" w16cid:durableId="833226852">
    <w:abstractNumId w:val="7"/>
  </w:num>
  <w:num w:numId="12" w16cid:durableId="1742369234">
    <w:abstractNumId w:val="2"/>
  </w:num>
  <w:num w:numId="13" w16cid:durableId="710224916">
    <w:abstractNumId w:val="16"/>
  </w:num>
  <w:num w:numId="14" w16cid:durableId="1375423423">
    <w:abstractNumId w:val="10"/>
  </w:num>
  <w:num w:numId="15" w16cid:durableId="1565867968">
    <w:abstractNumId w:val="17"/>
  </w:num>
  <w:num w:numId="16" w16cid:durableId="2010983547">
    <w:abstractNumId w:val="8"/>
  </w:num>
  <w:num w:numId="17" w16cid:durableId="1852331429">
    <w:abstractNumId w:val="5"/>
  </w:num>
  <w:num w:numId="18" w16cid:durableId="85537766">
    <w:abstractNumId w:val="14"/>
  </w:num>
  <w:num w:numId="19" w16cid:durableId="38622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B7"/>
    <w:rsid w:val="00025415"/>
    <w:rsid w:val="000351A4"/>
    <w:rsid w:val="00065BA0"/>
    <w:rsid w:val="0009027E"/>
    <w:rsid w:val="00095518"/>
    <w:rsid w:val="00097153"/>
    <w:rsid w:val="000E1F92"/>
    <w:rsid w:val="000E7A2D"/>
    <w:rsid w:val="001137B7"/>
    <w:rsid w:val="001618F2"/>
    <w:rsid w:val="00164CE7"/>
    <w:rsid w:val="00165245"/>
    <w:rsid w:val="00171588"/>
    <w:rsid w:val="001D1346"/>
    <w:rsid w:val="001F20C3"/>
    <w:rsid w:val="001F26A1"/>
    <w:rsid w:val="001F33E5"/>
    <w:rsid w:val="00202213"/>
    <w:rsid w:val="00240580"/>
    <w:rsid w:val="002578F9"/>
    <w:rsid w:val="002A2F1B"/>
    <w:rsid w:val="002B1DE1"/>
    <w:rsid w:val="002C7FBA"/>
    <w:rsid w:val="002E03AE"/>
    <w:rsid w:val="00312C29"/>
    <w:rsid w:val="003414B7"/>
    <w:rsid w:val="00392F41"/>
    <w:rsid w:val="00393907"/>
    <w:rsid w:val="003A1830"/>
    <w:rsid w:val="003E37D0"/>
    <w:rsid w:val="00401470"/>
    <w:rsid w:val="00410FF0"/>
    <w:rsid w:val="00417442"/>
    <w:rsid w:val="004249D5"/>
    <w:rsid w:val="0050611B"/>
    <w:rsid w:val="00526855"/>
    <w:rsid w:val="00581EEE"/>
    <w:rsid w:val="00597F15"/>
    <w:rsid w:val="005F694C"/>
    <w:rsid w:val="00605C55"/>
    <w:rsid w:val="00651CB9"/>
    <w:rsid w:val="00652F2A"/>
    <w:rsid w:val="006B15CC"/>
    <w:rsid w:val="006C6703"/>
    <w:rsid w:val="006D6C0F"/>
    <w:rsid w:val="006F0403"/>
    <w:rsid w:val="007342B4"/>
    <w:rsid w:val="00751E7C"/>
    <w:rsid w:val="00782D3C"/>
    <w:rsid w:val="007D2B2A"/>
    <w:rsid w:val="007D2E99"/>
    <w:rsid w:val="007D5E42"/>
    <w:rsid w:val="007F704A"/>
    <w:rsid w:val="008129EC"/>
    <w:rsid w:val="008322B0"/>
    <w:rsid w:val="00840985"/>
    <w:rsid w:val="0084332A"/>
    <w:rsid w:val="00851112"/>
    <w:rsid w:val="008551B6"/>
    <w:rsid w:val="008C6890"/>
    <w:rsid w:val="00921F88"/>
    <w:rsid w:val="00952AFF"/>
    <w:rsid w:val="009A655E"/>
    <w:rsid w:val="009D34B0"/>
    <w:rsid w:val="00A44764"/>
    <w:rsid w:val="00A87A98"/>
    <w:rsid w:val="00A971DC"/>
    <w:rsid w:val="00AF7AF4"/>
    <w:rsid w:val="00B177E7"/>
    <w:rsid w:val="00B608E8"/>
    <w:rsid w:val="00B76108"/>
    <w:rsid w:val="00BA059A"/>
    <w:rsid w:val="00BA511F"/>
    <w:rsid w:val="00BD1241"/>
    <w:rsid w:val="00C0674D"/>
    <w:rsid w:val="00C36E5F"/>
    <w:rsid w:val="00C43CC0"/>
    <w:rsid w:val="00C4505E"/>
    <w:rsid w:val="00C551D4"/>
    <w:rsid w:val="00C907EF"/>
    <w:rsid w:val="00CB7381"/>
    <w:rsid w:val="00CE052E"/>
    <w:rsid w:val="00D1705D"/>
    <w:rsid w:val="00D74680"/>
    <w:rsid w:val="00D93D74"/>
    <w:rsid w:val="00DE1428"/>
    <w:rsid w:val="00DF0CF6"/>
    <w:rsid w:val="00E31CC8"/>
    <w:rsid w:val="00E44C49"/>
    <w:rsid w:val="00E77AC7"/>
    <w:rsid w:val="00E80E66"/>
    <w:rsid w:val="00E83ACE"/>
    <w:rsid w:val="00E83C4D"/>
    <w:rsid w:val="00EF291F"/>
    <w:rsid w:val="00F01D33"/>
    <w:rsid w:val="00F128D5"/>
    <w:rsid w:val="00F16CBE"/>
    <w:rsid w:val="00F416C6"/>
    <w:rsid w:val="00F47001"/>
    <w:rsid w:val="00F51AA2"/>
    <w:rsid w:val="00F567BF"/>
    <w:rsid w:val="00F61DE5"/>
    <w:rsid w:val="00F85DA5"/>
    <w:rsid w:val="00FB1C5E"/>
    <w:rsid w:val="00FD6C87"/>
    <w:rsid w:val="00FE01A4"/>
    <w:rsid w:val="04087B40"/>
    <w:rsid w:val="050BC80B"/>
    <w:rsid w:val="0CC03450"/>
    <w:rsid w:val="27B8DB8E"/>
    <w:rsid w:val="2F0195B1"/>
    <w:rsid w:val="31CC65FC"/>
    <w:rsid w:val="3DA5D783"/>
    <w:rsid w:val="3FEE63AF"/>
    <w:rsid w:val="3FFBBE90"/>
    <w:rsid w:val="4237B46E"/>
    <w:rsid w:val="46DFE972"/>
    <w:rsid w:val="4AD3F042"/>
    <w:rsid w:val="5404E728"/>
    <w:rsid w:val="5599D790"/>
    <w:rsid w:val="6AF3367D"/>
    <w:rsid w:val="75223B98"/>
    <w:rsid w:val="780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3747"/>
  <w15:chartTrackingRefBased/>
  <w15:docId w15:val="{260EA142-151B-4F0A-8024-AECB74CB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37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37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137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137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137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137B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137B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137B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137B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137B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137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37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137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1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37B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137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37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37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37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137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37B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A18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e">
    <w:name w:val="Revision"/>
    <w:hidden/>
    <w:uiPriority w:val="99"/>
    <w:semiHidden/>
    <w:rsid w:val="00C4505E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052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CE052E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05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125D8199CA4695115AB18E0F2762" ma:contentTypeVersion="19" ma:contentTypeDescription="Een nieuw document maken." ma:contentTypeScope="" ma:versionID="6edf772d02e0f0135d730c8d03deb56b">
  <xsd:schema xmlns:xsd="http://www.w3.org/2001/XMLSchema" xmlns:xs="http://www.w3.org/2001/XMLSchema" xmlns:p="http://schemas.microsoft.com/office/2006/metadata/properties" xmlns:ns2="7eedc4f7-2da6-42b2-92e6-6447c5812d25" xmlns:ns3="1fd41d62-d93b-42c8-b1c3-70b2699e225e" targetNamespace="http://schemas.microsoft.com/office/2006/metadata/properties" ma:root="true" ma:fieldsID="7e90f34e0724937b282e565ee0ee9fb8" ns2:_="" ns3:_="">
    <xsd:import namespace="7eedc4f7-2da6-42b2-92e6-6447c5812d25"/>
    <xsd:import namespace="1fd41d62-d93b-42c8-b1c3-70b2699e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c4f7-2da6-42b2-92e6-6447c5812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fce6e2d-8056-4937-92c8-4159d08e2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1d62-d93b-42c8-b1c3-70b2699e2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8e7aca-e7b3-4194-b580-0ddcc63812d9}" ma:internalName="TaxCatchAll" ma:showField="CatchAllData" ma:web="1fd41d62-d93b-42c8-b1c3-70b2699e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dc4f7-2da6-42b2-92e6-6447c5812d25">
      <Terms xmlns="http://schemas.microsoft.com/office/infopath/2007/PartnerControls"/>
    </lcf76f155ced4ddcb4097134ff3c332f>
    <TaxCatchAll xmlns="1fd41d62-d93b-42c8-b1c3-70b2699e225e" xsi:nil="true"/>
  </documentManagement>
</p:properties>
</file>

<file path=customXml/itemProps1.xml><?xml version="1.0" encoding="utf-8"?>
<ds:datastoreItem xmlns:ds="http://schemas.openxmlformats.org/officeDocument/2006/customXml" ds:itemID="{81DC5730-AC36-4340-8769-7AD6B34DE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C2CAB-BBDB-4E36-95F3-63DA9805E9A7}"/>
</file>

<file path=customXml/itemProps3.xml><?xml version="1.0" encoding="utf-8"?>
<ds:datastoreItem xmlns:ds="http://schemas.openxmlformats.org/officeDocument/2006/customXml" ds:itemID="{C93F8A9C-B389-4C5B-9894-E80D74112FD6}">
  <ds:schemaRefs>
    <ds:schemaRef ds:uri="http://schemas.microsoft.com/office/2006/metadata/properties"/>
    <ds:schemaRef ds:uri="http://schemas.microsoft.com/office/infopath/2007/PartnerControls"/>
    <ds:schemaRef ds:uri="c3aacf29-99ab-4ccb-b72e-287c5d6b73e5"/>
    <ds:schemaRef ds:uri="71319022-e1a5-473c-a1f7-3f9b913670b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Zicht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Berntsen</dc:creator>
  <cp:keywords/>
  <dc:description/>
  <cp:lastModifiedBy>Mark Berntsen</cp:lastModifiedBy>
  <cp:revision>5</cp:revision>
  <dcterms:created xsi:type="dcterms:W3CDTF">2025-11-26T10:47:00Z</dcterms:created>
  <dcterms:modified xsi:type="dcterms:W3CDTF">2025-12-01T07:56:11Z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0x0101001939125D8199CA4695115AB18E0F2762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